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克州业余体校</w:t>
      </w:r>
    </w:p>
    <w:p>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2022年05月12日</w:t>
      </w:r>
    </w:p>
    <w:p>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（一）单位基本情况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业余体校主要组织体育训练和竞技赛，培养体育后备人才，促进体育事业发展。体育教育、运行训练、体育运动组织管理、专业人才培训和社会相关服务。为我州争光。并开展群众性体育培训、比赛和活动。单位整体绩效是对本单位年度内使用的所有财政资金实施绩效管理的工作任务，主要衡量单位整体及核心业务实施效果，工作内容包括：设置整体绩效目标、实施整体绩效监控和开展整体绩效自评三个部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克州体育馆无下属预算单位，下设0个科室。</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克州业余体校核定编制20名，事业人员编制20名，全额预算管理。克州业余体校现在单位实有在职人员17名，退休人员12人。</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加强干部职工的政治理论和国语学习。一是按照局党组的要求，按时参加党支部组织的集中学习，体校、大队每周四上午雷打不动进行政治理论学习，传达学习局党组理论学习中心组集体学习内容。认真学习贯彻习近平新时代中国特色社会主义思想、党的十九大、十九届四中、五中全会精神、第三次中央新疆工作座谈会精神、党的治疆方略，提高干部职工的理论素养；二是加强少数民族干部的国语学习。</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业余体校单位内部控制规范》，主要内容包括如下几个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（2）收支管理：领导层是本单位收支业务管理的决策部门，负责审批单位收支业务等事项。涉及“三重一大”事项，根据《克州业余体校集体决策制度》和《克州业余体校项目管理办法》办理。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业余体校政府采购管理办法》执行。</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5）合同业务管理：按照《克州业余体校合同管理办法》相关规定，克州业余体校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268.76万元，项目支出安排资金0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本单位2021年度项目支出0万元，涉及项目数量0个，其中：重点项目支出0万元，涉及重点项目数量0个，重点项目支出与部门项目总支出的比率为0%。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2021年度本单位年初批复部门预算资金总额为252.41万元，年中调增预算总额为16.35万元，调整后全年预算资金总额为268.76万元。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2021年度本单位部门整体支出资金总额为268.76万元，预算执行率为100%，预算调整率为6.</w:t>
      </w:r>
      <w:r>
        <w:rPr>
          <w:rFonts w:hint="eastAsia" w:ascii="仿宋_GB2312" w:hAnsi="宋体" w:eastAsia="仿宋_GB2312"/>
          <w:b w:val="0"/>
          <w:bCs/>
          <w:sz w:val="32"/>
          <w:szCs w:val="32"/>
          <w:lang w:val="en-US" w:eastAsia="zh-CN"/>
        </w:rPr>
        <w:t>48</w:t>
      </w:r>
      <w:r>
        <w:rPr>
          <w:rFonts w:hint="eastAsia" w:ascii="仿宋_GB2312" w:hAnsi="宋体" w:eastAsia="仿宋_GB2312"/>
          <w:b w:val="0"/>
          <w:bCs/>
          <w:sz w:val="32"/>
          <w:szCs w:val="32"/>
        </w:rPr>
        <w:t>%。</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年初政府采购预算数为30万元，实</w:t>
      </w:r>
      <w:bookmarkStart w:id="1" w:name="_GoBack"/>
      <w:bookmarkEnd w:id="1"/>
      <w:r>
        <w:rPr>
          <w:rFonts w:hint="eastAsia" w:ascii="仿宋_GB2312" w:hAnsi="宋体" w:eastAsia="仿宋_GB2312"/>
          <w:b w:val="0"/>
          <w:bCs/>
          <w:sz w:val="32"/>
          <w:szCs w:val="32"/>
        </w:rPr>
        <w:t>际政府采购数为0万元，政府采购执行率为0%。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为加强我单位预算管理、规范财务行为我单位制定了《克州业余体校内部控制规范》《克州业余体校项目管理规范》等资金管理制度，已建立制度均健全且有效运行。</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财务室按资金拨付规定及流程实行国库集中支付；不存在截留、挤占、挪用、虚列支出等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国有资产占用情况，预算绩效情况等信息，主动接受社会各界监督。</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2021年度我单位基本支出预算总额为268.76万元，其中人员经费263.91万元，公用经费4.85万元。实际执行总额为268.76万元，预算执行率100%。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本单位无三公经费。</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2021年度本单位无项目。</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无。</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本单位2021年初资产合计数为167.70万元，年末资产合计数为183.83万元。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截止本年度固定资产账面净值118.68万元，年末实际在用固定资产118.68万元，固定资产利用率为100%。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部门单位整体支出共设置一级指标3个，二级指标7个，三级指标20个，其中已完成三级指标19个，指标完成率为95%。</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“保障单位实有干部职工人数”指标：预期指标值为=17人，实际完成指标值为17人，指标完成率为100%。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“保障单位在编干部职工人数”指标：预期指标值为=17人，实际完成指标值为17人，指标完成率为100%。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“保障单位退休干部职工人数”指标：预期指标值为=12人，实际完成指标值为12人，指标完成率为100%。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“购买办公用品次数”指标：预期指标值为&gt;=2次，实际完成指标值为2次，指标完成率为100%。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“训练次数”指标：预期指标值为&gt;=300次，实际完成指标值为300次，指标完成率为100%。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“考核情况及考核次数”指标：预期指标值为=1次，实际完成指标值为1次，指标完成率为100%。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“公用取暖面积”指标：预期指标值为&gt;=2000平方米，实际完成指标值为2000平方米，指标完成率为100%。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“运动员训练达标率”指标：预期指标值为=100%，实际完成指标值为100%，指标完成率为100%。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“绩效考核合格率”指标：预期指标值为=100%，实际完成指标值为100%，指标完成率为100%。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“资金使用合规率”指标：预期指标值为=100%，实际完成指标值为100%，指标完成率为100%。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“公用经费控制率”指标：预期指标值为=100%，实际完成指标值为100%，指标完成率为100%。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“预算拨付及时率”指标：预期指标值为=100%，实际完成指标值为100%，指标完成率为100%。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“运动员训练按时率”指标：预期指标值为=100%，实际完成指标值为100%，指标完成率为100%。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“资金支付及时率”指标：预期指标值为=100%，实际完成指标值为100%，指标完成率为100%。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“人员经费每月支付经费数”指标：预期指标值为=20.31万元/月，实际完成指标值为20.31万元/月，指标完成率为100%。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公用经费”指标：预期指标值为=8.74万元，实际完成指标值为4.84万元，指标完成率为55.38%。偏差原因：2021年原定于8月份开展的个别比赛赛事，因疫情原因取消比赛。改进措施：积极与自治区体育局沟通，合理规划比赛时间，避免再次因其他原因耽误比赛。</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无指标。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“提高体育赛事管理水平”指标：预期指标值为有效提高，实际完成指标值为有效提高，指标完成率为100%。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“加强体育人才工程建设”指标：预期指标值为显著提升，实际完成指标值为显著提升，指标完成率为100%。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无指标。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“进一步满足人民群众日益增长的精神文化需求”指标：预期指标值为长期，实际完成指标值为长期，指标完成率为100%。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3.满意度指标完成情况分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“受益人员满意度”指标：预期指标值为&gt;=95%，实际完成指标值为95%，指标完成率为100%。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438599A"/>
    <w:rsid w:val="200F4073"/>
    <w:rsid w:val="24B86128"/>
    <w:rsid w:val="3C467035"/>
    <w:rsid w:val="44634F65"/>
    <w:rsid w:val="50930B50"/>
    <w:rsid w:val="51C70EA9"/>
    <w:rsid w:val="54F842B6"/>
    <w:rsid w:val="57BE1E5C"/>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30</TotalTime>
  <ScaleCrop>false</ScaleCrop>
  <LinksUpToDate>false</LinksUpToDate>
  <CharactersWithSpaces>308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2022-05-23T11:01:51Z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4E2A216151A24EE5A190066F518526B7</vt:lpwstr>
  </property>
</Properties>
</file>